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D4" w:rsidRDefault="00E55634">
      <w:pPr>
        <w:rPr>
          <w:sz w:val="28"/>
        </w:rPr>
      </w:pPr>
      <w:proofErr w:type="spellStart"/>
      <w:r w:rsidRPr="00E55634">
        <w:rPr>
          <w:sz w:val="28"/>
        </w:rPr>
        <w:t>Раннеархаический</w:t>
      </w:r>
      <w:proofErr w:type="spellEnd"/>
      <w:r w:rsidRPr="00E55634">
        <w:rPr>
          <w:sz w:val="28"/>
        </w:rPr>
        <w:t xml:space="preserve"> период в греческой вазописи. </w:t>
      </w:r>
      <w:proofErr w:type="spellStart"/>
      <w:r w:rsidRPr="00E55634">
        <w:rPr>
          <w:sz w:val="28"/>
        </w:rPr>
        <w:t>Протоаттическая</w:t>
      </w:r>
      <w:proofErr w:type="spellEnd"/>
      <w:r w:rsidRPr="00E55634">
        <w:rPr>
          <w:sz w:val="28"/>
        </w:rPr>
        <w:t xml:space="preserve"> керамика (мастер </w:t>
      </w:r>
      <w:proofErr w:type="spellStart"/>
      <w:r w:rsidRPr="00E55634">
        <w:rPr>
          <w:sz w:val="28"/>
        </w:rPr>
        <w:t>Неса</w:t>
      </w:r>
      <w:proofErr w:type="spellEnd"/>
      <w:r w:rsidRPr="00E55634">
        <w:rPr>
          <w:sz w:val="28"/>
        </w:rPr>
        <w:t xml:space="preserve"> и мастер Горгон). Начало формирования нового чернофигурного стиля в росписи.</w:t>
      </w:r>
    </w:p>
    <w:p w:rsidR="008925F4" w:rsidRDefault="008925F4">
      <w:pPr>
        <w:rPr>
          <w:sz w:val="24"/>
        </w:rPr>
      </w:pPr>
      <w:r>
        <w:rPr>
          <w:sz w:val="24"/>
        </w:rPr>
        <w:t xml:space="preserve">Со второй половины 7 в. начинает изменяться концепция декора. Теперь мастера желают передать его не как орнаментальный фриз, а как законченную в себе центрическую композицию. Возникает и новая, чернофигурная техника росписи. </w:t>
      </w:r>
      <w:proofErr w:type="spellStart"/>
      <w:r>
        <w:rPr>
          <w:sz w:val="24"/>
        </w:rPr>
        <w:t>Глянцево</w:t>
      </w:r>
      <w:proofErr w:type="spellEnd"/>
      <w:r>
        <w:rPr>
          <w:sz w:val="24"/>
        </w:rPr>
        <w:t>-черный силуэт вырисовывается на оранжево-кирпичной поверхности сосуда. Контрастность цветового сочетания усиливает четкость силуэтных фигур. Процарапывание линий внутри силуэта дает возможность выявить необходимые детали, сохраняя при этом общую графическую плоскостность изображения. Острая динамическая декоративность сочетается с жизненной экспрессией движения, а интерес к имитации натуры с заботой о сохранении декоративно-монументальной ценности изображения.</w:t>
      </w:r>
    </w:p>
    <w:p w:rsidR="008925F4" w:rsidRDefault="008925F4">
      <w:pPr>
        <w:rPr>
          <w:b/>
          <w:sz w:val="24"/>
        </w:rPr>
      </w:pPr>
      <w:r w:rsidRPr="008925F4">
        <w:rPr>
          <w:b/>
          <w:sz w:val="24"/>
        </w:rPr>
        <w:t>Мастер Горгоны.</w:t>
      </w:r>
    </w:p>
    <w:p w:rsidR="008925F4" w:rsidRDefault="008925F4">
      <w:pPr>
        <w:rPr>
          <w:b/>
          <w:sz w:val="24"/>
        </w:rPr>
      </w:pPr>
      <w:proofErr w:type="spellStart"/>
      <w:r>
        <w:rPr>
          <w:b/>
          <w:sz w:val="24"/>
        </w:rPr>
        <w:t>Динос</w:t>
      </w:r>
      <w:proofErr w:type="spellEnd"/>
      <w:r w:rsidR="001E3A8F">
        <w:rPr>
          <w:b/>
          <w:sz w:val="24"/>
        </w:rPr>
        <w:t xml:space="preserve"> из Этрурии</w:t>
      </w:r>
      <w:r>
        <w:rPr>
          <w:b/>
          <w:sz w:val="24"/>
        </w:rPr>
        <w:t>. Начало 6 в. до н.э.</w:t>
      </w:r>
    </w:p>
    <w:p w:rsidR="008925F4" w:rsidRDefault="008925F4">
      <w:pPr>
        <w:rPr>
          <w:sz w:val="24"/>
        </w:rPr>
      </w:pPr>
      <w:r>
        <w:rPr>
          <w:sz w:val="24"/>
        </w:rPr>
        <w:t xml:space="preserve">Горгона, преследующая Персея. Она изображена по схеме коленопреклоненного бега, ноги и голова в профиль, грудь в фас. Но в силуэте Персея уже видны попытки </w:t>
      </w:r>
      <w:proofErr w:type="gramStart"/>
      <w:r>
        <w:rPr>
          <w:sz w:val="24"/>
        </w:rPr>
        <w:t>более динамической</w:t>
      </w:r>
      <w:proofErr w:type="gramEnd"/>
      <w:r>
        <w:rPr>
          <w:sz w:val="24"/>
        </w:rPr>
        <w:t xml:space="preserve"> передачи бега. Движение Горгоны начинается от фигуры Афины, затем мы видим Персея, затем ему навстречу выезжает колесница – таким образом, сцена имеет начало, кульминацию, завершение.</w:t>
      </w:r>
    </w:p>
    <w:p w:rsidR="001E3A8F" w:rsidRDefault="001E3A8F">
      <w:pPr>
        <w:rPr>
          <w:sz w:val="24"/>
        </w:rPr>
      </w:pPr>
      <w:r>
        <w:rPr>
          <w:noProof/>
          <w:sz w:val="24"/>
          <w:lang w:eastAsia="ru-RU"/>
        </w:rPr>
        <w:lastRenderedPageBreak/>
        <w:drawing>
          <wp:inline distT="0" distB="0" distL="0" distR="0">
            <wp:extent cx="2340864" cy="3657600"/>
            <wp:effectExtent l="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нос из Этрурии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</w:t>
      </w:r>
      <w:r>
        <w:rPr>
          <w:noProof/>
          <w:sz w:val="24"/>
          <w:lang w:eastAsia="ru-RU"/>
        </w:rPr>
        <w:drawing>
          <wp:inline distT="0" distB="0" distL="0" distR="0">
            <wp:extent cx="5940425" cy="3385820"/>
            <wp:effectExtent l="0" t="0" r="3175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нос из Этрурии 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8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A8F" w:rsidRDefault="001E3A8F">
      <w:pPr>
        <w:rPr>
          <w:b/>
          <w:sz w:val="24"/>
        </w:rPr>
      </w:pPr>
    </w:p>
    <w:p w:rsidR="001E3A8F" w:rsidRDefault="001E3A8F">
      <w:pPr>
        <w:rPr>
          <w:b/>
          <w:sz w:val="24"/>
        </w:rPr>
      </w:pPr>
    </w:p>
    <w:p w:rsidR="001E3A8F" w:rsidRDefault="001E3A8F">
      <w:pPr>
        <w:rPr>
          <w:b/>
          <w:sz w:val="24"/>
        </w:rPr>
      </w:pPr>
    </w:p>
    <w:p w:rsidR="001E3A8F" w:rsidRPr="001E3A8F" w:rsidRDefault="001E3A8F">
      <w:pPr>
        <w:rPr>
          <w:b/>
          <w:sz w:val="24"/>
        </w:rPr>
      </w:pPr>
      <w:r w:rsidRPr="001E3A8F">
        <w:rPr>
          <w:b/>
          <w:sz w:val="24"/>
        </w:rPr>
        <w:t xml:space="preserve">Мастер </w:t>
      </w:r>
      <w:proofErr w:type="spellStart"/>
      <w:r w:rsidRPr="001E3A8F">
        <w:rPr>
          <w:b/>
          <w:sz w:val="24"/>
        </w:rPr>
        <w:t>Несса</w:t>
      </w:r>
      <w:proofErr w:type="spellEnd"/>
      <w:r w:rsidRPr="001E3A8F">
        <w:rPr>
          <w:b/>
          <w:sz w:val="24"/>
        </w:rPr>
        <w:t>.</w:t>
      </w:r>
    </w:p>
    <w:p w:rsidR="00316534" w:rsidRDefault="00DD19E6">
      <w:pPr>
        <w:rPr>
          <w:sz w:val="24"/>
        </w:rPr>
      </w:pPr>
      <w:proofErr w:type="spellStart"/>
      <w:r>
        <w:rPr>
          <w:sz w:val="24"/>
        </w:rPr>
        <w:t>Вазописца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Несс</w:t>
      </w:r>
      <w:r w:rsidR="008925F4">
        <w:rPr>
          <w:sz w:val="24"/>
        </w:rPr>
        <w:t>а</w:t>
      </w:r>
      <w:proofErr w:type="spellEnd"/>
      <w:r>
        <w:rPr>
          <w:sz w:val="24"/>
        </w:rPr>
        <w:t xml:space="preserve"> можно </w:t>
      </w:r>
      <w:r w:rsidR="00316534">
        <w:rPr>
          <w:sz w:val="24"/>
        </w:rPr>
        <w:t>считать первым представителем ат</w:t>
      </w:r>
      <w:r w:rsidR="0058467E">
        <w:rPr>
          <w:sz w:val="24"/>
        </w:rPr>
        <w:t>тической чернофигурной живописи</w:t>
      </w:r>
      <w:bookmarkStart w:id="0" w:name="_GoBack"/>
      <w:bookmarkEnd w:id="0"/>
      <w:r w:rsidR="00201CDD" w:rsidRPr="00201CDD">
        <w:rPr>
          <w:sz w:val="24"/>
        </w:rPr>
        <w:t xml:space="preserve">. Он часто использовал красный пигмент, чтобы усилить красный цвет глины. Возможно, под влиянием египетской манеры изображения человеческих фигур, </w:t>
      </w:r>
      <w:proofErr w:type="spellStart"/>
      <w:r w:rsidR="00201CDD" w:rsidRPr="00201CDD">
        <w:rPr>
          <w:sz w:val="24"/>
        </w:rPr>
        <w:t>Несс</w:t>
      </w:r>
      <w:proofErr w:type="spellEnd"/>
      <w:r w:rsidR="00201CDD" w:rsidRPr="00201CDD">
        <w:rPr>
          <w:sz w:val="24"/>
        </w:rPr>
        <w:t xml:space="preserve"> </w:t>
      </w:r>
      <w:r w:rsidR="00201CDD" w:rsidRPr="00201CDD">
        <w:rPr>
          <w:sz w:val="24"/>
        </w:rPr>
        <w:lastRenderedPageBreak/>
        <w:t>выработал традицию, по которой белое лицо обозначало в живописи женщин, в то время как мужчины изображались</w:t>
      </w:r>
      <w:r w:rsidR="00201CDD">
        <w:rPr>
          <w:sz w:val="24"/>
        </w:rPr>
        <w:t xml:space="preserve"> с красным лицом. Д</w:t>
      </w:r>
      <w:r w:rsidR="00201CDD" w:rsidRPr="00201CDD">
        <w:rPr>
          <w:sz w:val="24"/>
        </w:rPr>
        <w:t>о конца чернофигурного периода белый цвет использовался для обозначения женских фигур.</w:t>
      </w:r>
      <w:r w:rsidR="00201CDD" w:rsidRPr="00201CDD">
        <w:t xml:space="preserve"> </w:t>
      </w:r>
      <w:r w:rsidR="00201CDD">
        <w:rPr>
          <w:sz w:val="24"/>
        </w:rPr>
        <w:t xml:space="preserve">Ранние работы художника </w:t>
      </w:r>
      <w:r w:rsidR="00201CDD" w:rsidRPr="00201CDD">
        <w:rPr>
          <w:sz w:val="24"/>
        </w:rPr>
        <w:t xml:space="preserve">напоминают </w:t>
      </w:r>
      <w:proofErr w:type="spellStart"/>
      <w:r w:rsidR="00201CDD" w:rsidRPr="00201CDD">
        <w:rPr>
          <w:sz w:val="24"/>
        </w:rPr>
        <w:t>протокоринфский</w:t>
      </w:r>
      <w:proofErr w:type="spellEnd"/>
      <w:r w:rsidR="00201CDD" w:rsidRPr="00201CDD">
        <w:rPr>
          <w:sz w:val="24"/>
        </w:rPr>
        <w:t xml:space="preserve"> стиль</w:t>
      </w:r>
      <w:r w:rsidR="00201CDD">
        <w:rPr>
          <w:sz w:val="24"/>
        </w:rPr>
        <w:t xml:space="preserve"> с его обилием орнамента, заполняющего пространство сосуда. Однако, его самая известная работа, так называемая, Амфора </w:t>
      </w:r>
      <w:proofErr w:type="spellStart"/>
      <w:r w:rsidR="00201CDD">
        <w:rPr>
          <w:sz w:val="24"/>
        </w:rPr>
        <w:t>Несса</w:t>
      </w:r>
      <w:proofErr w:type="spellEnd"/>
      <w:r w:rsidR="00201CDD">
        <w:rPr>
          <w:sz w:val="24"/>
        </w:rPr>
        <w:t>, может являться примером чернофигурного стиля</w:t>
      </w:r>
      <w:r w:rsidR="001E3A8F">
        <w:rPr>
          <w:sz w:val="24"/>
        </w:rPr>
        <w:t xml:space="preserve">. Движение фигур несколько грубовато, но необычайно энергично. </w:t>
      </w:r>
      <w:r w:rsidR="008925F4">
        <w:rPr>
          <w:sz w:val="24"/>
        </w:rPr>
        <w:t>Н</w:t>
      </w:r>
      <w:r w:rsidR="00201CDD">
        <w:rPr>
          <w:sz w:val="24"/>
        </w:rPr>
        <w:t xml:space="preserve">ет больше такого страха перед пустым пространством. </w:t>
      </w:r>
      <w:r w:rsidR="008925F4">
        <w:rPr>
          <w:sz w:val="24"/>
        </w:rPr>
        <w:t xml:space="preserve"> Он не отказывается полностью от контура. Характерно, что его многие работы монументальны – иногда больше метра в высоту.</w:t>
      </w:r>
    </w:p>
    <w:p w:rsidR="00201CDD" w:rsidRDefault="00201CDD">
      <w:pPr>
        <w:rPr>
          <w:sz w:val="24"/>
        </w:rPr>
      </w:pPr>
      <w:r>
        <w:rPr>
          <w:noProof/>
          <w:sz w:val="24"/>
          <w:lang w:eastAsia="ru-RU"/>
        </w:rPr>
        <w:lastRenderedPageBreak/>
        <w:drawing>
          <wp:inline distT="0" distB="0" distL="0" distR="0" wp14:anchorId="2E3820C3" wp14:editId="3A4D959B">
            <wp:extent cx="3048000" cy="4857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мфора Несса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4"/>
          <w:lang w:eastAsia="ru-RU"/>
        </w:rPr>
        <w:lastRenderedPageBreak/>
        <w:drawing>
          <wp:inline distT="0" distB="0" distL="0" distR="0">
            <wp:extent cx="5940425" cy="682244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мфора несса 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8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CDD" w:rsidRPr="00316534" w:rsidRDefault="00201CDD">
      <w:pPr>
        <w:rPr>
          <w:sz w:val="24"/>
        </w:rPr>
      </w:pPr>
    </w:p>
    <w:p w:rsidR="00E55634" w:rsidRDefault="00ED275A">
      <w:pPr>
        <w:rPr>
          <w:sz w:val="24"/>
        </w:rPr>
      </w:pPr>
      <w:r>
        <w:rPr>
          <w:sz w:val="24"/>
        </w:rPr>
        <w:t xml:space="preserve">Переход к новому, чернофигурному стилю происходил не внезапно. Но к 6 веку традиции </w:t>
      </w:r>
      <w:proofErr w:type="spellStart"/>
      <w:r>
        <w:rPr>
          <w:sz w:val="24"/>
        </w:rPr>
        <w:t>ориентализирующего</w:t>
      </w:r>
      <w:proofErr w:type="spellEnd"/>
      <w:r>
        <w:rPr>
          <w:sz w:val="24"/>
        </w:rPr>
        <w:t xml:space="preserve"> стиля совсем изжили себя. Чернофигурный стиль – это централизация керамического стиля в руках Аттики. </w:t>
      </w:r>
    </w:p>
    <w:p w:rsidR="00ED275A" w:rsidRDefault="00ED275A">
      <w:pPr>
        <w:rPr>
          <w:sz w:val="24"/>
        </w:rPr>
      </w:pPr>
      <w:r>
        <w:rPr>
          <w:sz w:val="24"/>
        </w:rPr>
        <w:t xml:space="preserve">В основе положен контраст между светлым фоном и темными силуэтами фигур с редкими вкраплениями бело или пурпурной краски. Постепенно убираются излишки декорации, и мастера перестают </w:t>
      </w:r>
      <w:proofErr w:type="gramStart"/>
      <w:r>
        <w:rPr>
          <w:sz w:val="24"/>
        </w:rPr>
        <w:t>боятся</w:t>
      </w:r>
      <w:proofErr w:type="gramEnd"/>
      <w:r>
        <w:rPr>
          <w:sz w:val="24"/>
        </w:rPr>
        <w:t xml:space="preserve"> пустого места. </w:t>
      </w:r>
    </w:p>
    <w:p w:rsidR="00ED275A" w:rsidRDefault="00ED275A">
      <w:pPr>
        <w:rPr>
          <w:sz w:val="24"/>
        </w:rPr>
      </w:pPr>
      <w:r>
        <w:rPr>
          <w:sz w:val="24"/>
        </w:rPr>
        <w:lastRenderedPageBreak/>
        <w:t xml:space="preserve">Орнамент четко подчеркивает конструктивное членение сосуда. Интерес к человеческой фигуре, к действию, повествованию. Чаще всего можно встретить мифологические сюжеты (подвиги и приключения героев). Любимый герой – Дионис, любимая форма – амфора. </w:t>
      </w:r>
    </w:p>
    <w:p w:rsidR="00FE28C3" w:rsidRDefault="00ED275A" w:rsidP="00FE28C3">
      <w:pPr>
        <w:rPr>
          <w:sz w:val="24"/>
        </w:rPr>
      </w:pPr>
      <w:r>
        <w:rPr>
          <w:sz w:val="24"/>
        </w:rPr>
        <w:t xml:space="preserve">Наиболее медленно переход от </w:t>
      </w:r>
      <w:proofErr w:type="spellStart"/>
      <w:r>
        <w:rPr>
          <w:sz w:val="24"/>
        </w:rPr>
        <w:t>ориентализирующего</w:t>
      </w:r>
      <w:proofErr w:type="spellEnd"/>
      <w:r>
        <w:rPr>
          <w:sz w:val="24"/>
        </w:rPr>
        <w:t xml:space="preserve"> стиля к чернофигурному совершается в ионийских мастерских, тут происходит смешение стилей, поэтому рассмотрим их керамику.</w:t>
      </w:r>
      <w:r>
        <w:rPr>
          <w:sz w:val="24"/>
        </w:rPr>
        <w:br/>
      </w:r>
      <w:proofErr w:type="spellStart"/>
      <w:r w:rsidRPr="00ED275A">
        <w:rPr>
          <w:b/>
          <w:sz w:val="24"/>
        </w:rPr>
        <w:t>Клазоменские</w:t>
      </w:r>
      <w:proofErr w:type="spellEnd"/>
      <w:r w:rsidRPr="00ED275A">
        <w:rPr>
          <w:b/>
          <w:sz w:val="24"/>
        </w:rPr>
        <w:t xml:space="preserve"> вазы. 2 и 3 </w:t>
      </w:r>
      <w:proofErr w:type="spellStart"/>
      <w:r w:rsidRPr="00ED275A">
        <w:rPr>
          <w:b/>
          <w:sz w:val="24"/>
        </w:rPr>
        <w:t>чтв</w:t>
      </w:r>
      <w:proofErr w:type="spellEnd"/>
      <w:r w:rsidRPr="00ED275A">
        <w:rPr>
          <w:b/>
          <w:sz w:val="24"/>
        </w:rPr>
        <w:t>. 6 в. до н. э.</w:t>
      </w:r>
      <w:r>
        <w:rPr>
          <w:b/>
          <w:sz w:val="24"/>
        </w:rPr>
        <w:br/>
      </w:r>
      <w:r>
        <w:rPr>
          <w:sz w:val="24"/>
        </w:rPr>
        <w:t>Орнамент: лиственный фриз, лунный серп. Композиция:</w:t>
      </w:r>
      <w:r w:rsidRPr="00ED275A">
        <w:rPr>
          <w:sz w:val="24"/>
        </w:rPr>
        <w:t xml:space="preserve"> </w:t>
      </w:r>
      <w:r w:rsidR="00FE28C3">
        <w:rPr>
          <w:sz w:val="24"/>
        </w:rPr>
        <w:t xml:space="preserve"> обилие</w:t>
      </w:r>
      <w:r w:rsidRPr="00ED275A">
        <w:rPr>
          <w:sz w:val="24"/>
        </w:rPr>
        <w:t xml:space="preserve"> свободного фона, </w:t>
      </w:r>
      <w:r w:rsidR="00FE28C3">
        <w:rPr>
          <w:sz w:val="24"/>
        </w:rPr>
        <w:t>динамика, в то же время симметричная, орнаментальная стилизация силуэта. Обильное применение</w:t>
      </w:r>
      <w:r w:rsidRPr="00ED275A">
        <w:rPr>
          <w:sz w:val="24"/>
        </w:rPr>
        <w:t xml:space="preserve"> белой краски и пурпура.</w:t>
      </w:r>
    </w:p>
    <w:p w:rsidR="00FE28C3" w:rsidRDefault="00FE28C3" w:rsidP="00FE2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E28C3">
        <w:rPr>
          <w:b/>
          <w:sz w:val="24"/>
        </w:rPr>
        <w:t>Клазоменские</w:t>
      </w:r>
      <w:proofErr w:type="spellEnd"/>
      <w:r w:rsidRPr="00FE28C3">
        <w:rPr>
          <w:b/>
          <w:sz w:val="24"/>
        </w:rPr>
        <w:t xml:space="preserve"> саркофаги.</w:t>
      </w:r>
      <w:r>
        <w:rPr>
          <w:b/>
          <w:sz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Еще ярче последовательный </w:t>
      </w:r>
    </w:p>
    <w:p w:rsidR="00FE28C3" w:rsidRPr="00FE28C3" w:rsidRDefault="00FE28C3" w:rsidP="00FE2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8C3">
        <w:rPr>
          <w:rFonts w:ascii="Times New Roman" w:hAnsi="Times New Roman" w:cs="Times New Roman"/>
          <w:sz w:val="24"/>
          <w:szCs w:val="24"/>
        </w:rPr>
        <w:t>переход к чернофигурному стилю д</w:t>
      </w:r>
      <w:r>
        <w:rPr>
          <w:rFonts w:ascii="Times New Roman" w:hAnsi="Times New Roman" w:cs="Times New Roman"/>
          <w:sz w:val="24"/>
          <w:szCs w:val="24"/>
        </w:rPr>
        <w:t>емонстрируют глиняные саркофаги,</w:t>
      </w:r>
    </w:p>
    <w:p w:rsidR="00FE28C3" w:rsidRPr="00FE28C3" w:rsidRDefault="00FE28C3" w:rsidP="00FE2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8C3">
        <w:rPr>
          <w:rFonts w:ascii="Times New Roman" w:hAnsi="Times New Roman" w:cs="Times New Roman"/>
          <w:sz w:val="24"/>
          <w:szCs w:val="24"/>
        </w:rPr>
        <w:t xml:space="preserve">в большом количестве </w:t>
      </w:r>
      <w:proofErr w:type="gramStart"/>
      <w:r w:rsidRPr="00FE28C3">
        <w:rPr>
          <w:rFonts w:ascii="Times New Roman" w:hAnsi="Times New Roman" w:cs="Times New Roman"/>
          <w:sz w:val="24"/>
          <w:szCs w:val="24"/>
        </w:rPr>
        <w:t>найденные</w:t>
      </w:r>
      <w:proofErr w:type="gramEnd"/>
      <w:r w:rsidRPr="00FE28C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E28C3">
        <w:rPr>
          <w:rFonts w:ascii="Times New Roman" w:hAnsi="Times New Roman" w:cs="Times New Roman"/>
          <w:sz w:val="24"/>
          <w:szCs w:val="24"/>
        </w:rPr>
        <w:t>клазоменских</w:t>
      </w:r>
      <w:proofErr w:type="spellEnd"/>
      <w:r w:rsidRPr="00FE28C3">
        <w:rPr>
          <w:rFonts w:ascii="Times New Roman" w:hAnsi="Times New Roman" w:cs="Times New Roman"/>
          <w:sz w:val="24"/>
          <w:szCs w:val="24"/>
        </w:rPr>
        <w:t xml:space="preserve"> некрополях. Там господствовал</w:t>
      </w:r>
    </w:p>
    <w:p w:rsidR="00FE28C3" w:rsidRPr="00FE28C3" w:rsidRDefault="00FE28C3" w:rsidP="00FE2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8C3">
        <w:rPr>
          <w:rFonts w:ascii="Times New Roman" w:hAnsi="Times New Roman" w:cs="Times New Roman"/>
          <w:sz w:val="24"/>
          <w:szCs w:val="24"/>
        </w:rPr>
        <w:t>в то время обычай, может быть, заимствованный из Египта: перед погребением выставлять</w:t>
      </w:r>
    </w:p>
    <w:p w:rsidR="00FE28C3" w:rsidRPr="00FE28C3" w:rsidRDefault="00FE28C3" w:rsidP="00FE2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8C3">
        <w:rPr>
          <w:rFonts w:ascii="Times New Roman" w:hAnsi="Times New Roman" w:cs="Times New Roman"/>
          <w:sz w:val="24"/>
          <w:szCs w:val="24"/>
        </w:rPr>
        <w:t xml:space="preserve">тело </w:t>
      </w:r>
      <w:proofErr w:type="gramStart"/>
      <w:r w:rsidRPr="00FE28C3">
        <w:rPr>
          <w:rFonts w:ascii="Times New Roman" w:hAnsi="Times New Roman" w:cs="Times New Roman"/>
          <w:sz w:val="24"/>
          <w:szCs w:val="24"/>
        </w:rPr>
        <w:t>умершего</w:t>
      </w:r>
      <w:proofErr w:type="gramEnd"/>
      <w:r w:rsidRPr="00FE28C3">
        <w:rPr>
          <w:rFonts w:ascii="Times New Roman" w:hAnsi="Times New Roman" w:cs="Times New Roman"/>
          <w:sz w:val="24"/>
          <w:szCs w:val="24"/>
        </w:rPr>
        <w:t xml:space="preserve"> в саркофаге в вертикальном положении; крышек у этих саркофагов</w:t>
      </w:r>
    </w:p>
    <w:p w:rsidR="00FE28C3" w:rsidRPr="00FE28C3" w:rsidRDefault="00FE28C3" w:rsidP="00FE2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8C3">
        <w:rPr>
          <w:rFonts w:ascii="Times New Roman" w:hAnsi="Times New Roman" w:cs="Times New Roman"/>
          <w:sz w:val="24"/>
          <w:szCs w:val="24"/>
        </w:rPr>
        <w:t>не было, а их широкие ранты давали благодарное поле для росписи. В росписи</w:t>
      </w:r>
    </w:p>
    <w:p w:rsidR="00FE28C3" w:rsidRPr="00FE28C3" w:rsidRDefault="00FE28C3" w:rsidP="00FE2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8C3">
        <w:rPr>
          <w:rFonts w:ascii="Times New Roman" w:hAnsi="Times New Roman" w:cs="Times New Roman"/>
          <w:sz w:val="24"/>
          <w:szCs w:val="24"/>
        </w:rPr>
        <w:t xml:space="preserve">ряда </w:t>
      </w:r>
      <w:proofErr w:type="spellStart"/>
      <w:r w:rsidRPr="00FE28C3">
        <w:rPr>
          <w:rFonts w:ascii="Times New Roman" w:hAnsi="Times New Roman" w:cs="Times New Roman"/>
          <w:sz w:val="24"/>
          <w:szCs w:val="24"/>
        </w:rPr>
        <w:t>клазоменских</w:t>
      </w:r>
      <w:proofErr w:type="spellEnd"/>
      <w:r w:rsidRPr="00FE28C3">
        <w:rPr>
          <w:rFonts w:ascii="Times New Roman" w:hAnsi="Times New Roman" w:cs="Times New Roman"/>
          <w:sz w:val="24"/>
          <w:szCs w:val="24"/>
        </w:rPr>
        <w:t xml:space="preserve"> саркофагов обычно можно наблюдать сочетание на одном и том</w:t>
      </w:r>
    </w:p>
    <w:p w:rsidR="00FE28C3" w:rsidRPr="00FE28C3" w:rsidRDefault="00FE28C3" w:rsidP="00FE2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8C3">
        <w:rPr>
          <w:rFonts w:ascii="Times New Roman" w:hAnsi="Times New Roman" w:cs="Times New Roman"/>
          <w:sz w:val="24"/>
          <w:szCs w:val="24"/>
        </w:rPr>
        <w:t xml:space="preserve">же </w:t>
      </w:r>
      <w:proofErr w:type="gramStart"/>
      <w:r w:rsidRPr="00FE28C3">
        <w:rPr>
          <w:rFonts w:ascii="Times New Roman" w:hAnsi="Times New Roman" w:cs="Times New Roman"/>
          <w:sz w:val="24"/>
          <w:szCs w:val="24"/>
        </w:rPr>
        <w:t>памятнике</w:t>
      </w:r>
      <w:proofErr w:type="gramEnd"/>
      <w:r w:rsidRPr="00FE28C3">
        <w:rPr>
          <w:rFonts w:ascii="Times New Roman" w:hAnsi="Times New Roman" w:cs="Times New Roman"/>
          <w:sz w:val="24"/>
          <w:szCs w:val="24"/>
        </w:rPr>
        <w:t xml:space="preserve"> двух различных стилей; приче</w:t>
      </w:r>
      <w:r>
        <w:rPr>
          <w:rFonts w:ascii="Times New Roman" w:hAnsi="Times New Roman" w:cs="Times New Roman"/>
          <w:sz w:val="24"/>
          <w:szCs w:val="24"/>
        </w:rPr>
        <w:t xml:space="preserve">м обычно роспись, исполненная в </w:t>
      </w:r>
      <w:r w:rsidRPr="00FE28C3">
        <w:rPr>
          <w:rFonts w:ascii="Times New Roman" w:hAnsi="Times New Roman" w:cs="Times New Roman"/>
          <w:sz w:val="24"/>
          <w:szCs w:val="24"/>
        </w:rPr>
        <w:t>новом</w:t>
      </w:r>
    </w:p>
    <w:p w:rsidR="00FE28C3" w:rsidRPr="00FE28C3" w:rsidRDefault="00FE28C3" w:rsidP="00FE2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стиле</w:t>
      </w:r>
      <w:proofErr w:type="gramEnd"/>
      <w:r>
        <w:rPr>
          <w:rFonts w:ascii="Times New Roman" w:hAnsi="Times New Roman" w:cs="Times New Roman"/>
          <w:sz w:val="24"/>
          <w:szCs w:val="24"/>
        </w:rPr>
        <w:t>, занимает главн</w:t>
      </w:r>
      <w:r w:rsidRPr="00FE28C3">
        <w:rPr>
          <w:rFonts w:ascii="Times New Roman" w:hAnsi="Times New Roman" w:cs="Times New Roman"/>
          <w:sz w:val="24"/>
          <w:szCs w:val="24"/>
        </w:rPr>
        <w:t>ое место у изголовья, а в более старом, отжившем стиле — в ногах</w:t>
      </w:r>
    </w:p>
    <w:p w:rsidR="00FE28C3" w:rsidRPr="00FE28C3" w:rsidRDefault="00FE28C3" w:rsidP="00FE2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E28C3">
        <w:rPr>
          <w:rFonts w:ascii="Times New Roman" w:hAnsi="Times New Roman" w:cs="Times New Roman"/>
          <w:sz w:val="24"/>
          <w:szCs w:val="24"/>
        </w:rPr>
        <w:t>умершего</w:t>
      </w:r>
      <w:proofErr w:type="gramEnd"/>
      <w:r w:rsidRPr="00FE28C3">
        <w:rPr>
          <w:rFonts w:ascii="Times New Roman" w:hAnsi="Times New Roman" w:cs="Times New Roman"/>
          <w:sz w:val="24"/>
          <w:szCs w:val="24"/>
        </w:rPr>
        <w:t xml:space="preserve">. Так, на саркофагах первой половины VI века внизу обыкновенно </w:t>
      </w:r>
      <w:proofErr w:type="gramStart"/>
      <w:r w:rsidRPr="00FE28C3">
        <w:rPr>
          <w:rFonts w:ascii="Times New Roman" w:hAnsi="Times New Roman" w:cs="Times New Roman"/>
          <w:sz w:val="24"/>
          <w:szCs w:val="24"/>
        </w:rPr>
        <w:t>расположен</w:t>
      </w:r>
      <w:proofErr w:type="gramEnd"/>
    </w:p>
    <w:p w:rsidR="00FE28C3" w:rsidRPr="00FE28C3" w:rsidRDefault="00FE28C3" w:rsidP="00FE2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8C3">
        <w:rPr>
          <w:rFonts w:ascii="Times New Roman" w:hAnsi="Times New Roman" w:cs="Times New Roman"/>
          <w:sz w:val="24"/>
          <w:szCs w:val="24"/>
        </w:rPr>
        <w:t xml:space="preserve">животный фриз </w:t>
      </w:r>
      <w:proofErr w:type="spellStart"/>
      <w:r w:rsidRPr="00FE28C3">
        <w:rPr>
          <w:rFonts w:ascii="Times New Roman" w:hAnsi="Times New Roman" w:cs="Times New Roman"/>
          <w:sz w:val="24"/>
          <w:szCs w:val="24"/>
        </w:rPr>
        <w:t>ориентализирующего</w:t>
      </w:r>
      <w:proofErr w:type="spellEnd"/>
      <w:r w:rsidRPr="00FE28C3">
        <w:rPr>
          <w:rFonts w:ascii="Times New Roman" w:hAnsi="Times New Roman" w:cs="Times New Roman"/>
          <w:sz w:val="24"/>
          <w:szCs w:val="24"/>
        </w:rPr>
        <w:t xml:space="preserve"> стиля, тогда как наверху </w:t>
      </w:r>
      <w:proofErr w:type="gramStart"/>
      <w:r w:rsidRPr="00FE28C3">
        <w:rPr>
          <w:rFonts w:ascii="Times New Roman" w:hAnsi="Times New Roman" w:cs="Times New Roman"/>
          <w:sz w:val="24"/>
          <w:szCs w:val="24"/>
        </w:rPr>
        <w:t>изображена</w:t>
      </w:r>
      <w:proofErr w:type="gramEnd"/>
    </w:p>
    <w:p w:rsidR="00FE28C3" w:rsidRPr="00FE28C3" w:rsidRDefault="00FE28C3" w:rsidP="00FE2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8C3">
        <w:rPr>
          <w:rFonts w:ascii="Times New Roman" w:hAnsi="Times New Roman" w:cs="Times New Roman"/>
          <w:sz w:val="24"/>
          <w:szCs w:val="24"/>
        </w:rPr>
        <w:t xml:space="preserve">какая-нибудь эпическая композиция, чаще всего единоборство героев, в </w:t>
      </w:r>
      <w:proofErr w:type="gramStart"/>
      <w:r w:rsidRPr="00FE28C3">
        <w:rPr>
          <w:rFonts w:ascii="Times New Roman" w:hAnsi="Times New Roman" w:cs="Times New Roman"/>
          <w:sz w:val="24"/>
          <w:szCs w:val="24"/>
        </w:rPr>
        <w:t>чистом</w:t>
      </w:r>
      <w:proofErr w:type="gramEnd"/>
      <w:r w:rsidRPr="00FE28C3">
        <w:rPr>
          <w:rFonts w:ascii="Times New Roman" w:hAnsi="Times New Roman" w:cs="Times New Roman"/>
          <w:sz w:val="24"/>
          <w:szCs w:val="24"/>
        </w:rPr>
        <w:t xml:space="preserve"> чернофигурном</w:t>
      </w:r>
    </w:p>
    <w:p w:rsidR="00FE28C3" w:rsidRPr="00FE28C3" w:rsidRDefault="00FE28C3" w:rsidP="00FE2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E28C3">
        <w:rPr>
          <w:rFonts w:ascii="Times New Roman" w:hAnsi="Times New Roman" w:cs="Times New Roman"/>
          <w:sz w:val="24"/>
          <w:szCs w:val="24"/>
        </w:rPr>
        <w:t>стиле</w:t>
      </w:r>
      <w:proofErr w:type="gramEnd"/>
      <w:r w:rsidRPr="00FE28C3">
        <w:rPr>
          <w:rFonts w:ascii="Times New Roman" w:hAnsi="Times New Roman" w:cs="Times New Roman"/>
          <w:sz w:val="24"/>
          <w:szCs w:val="24"/>
        </w:rPr>
        <w:t xml:space="preserve">. Историческое значение </w:t>
      </w:r>
      <w:proofErr w:type="spellStart"/>
      <w:r w:rsidRPr="00FE28C3">
        <w:rPr>
          <w:rFonts w:ascii="Times New Roman" w:hAnsi="Times New Roman" w:cs="Times New Roman"/>
          <w:sz w:val="24"/>
          <w:szCs w:val="24"/>
        </w:rPr>
        <w:t>клазоменской</w:t>
      </w:r>
      <w:proofErr w:type="spellEnd"/>
      <w:r w:rsidRPr="00FE28C3">
        <w:rPr>
          <w:rFonts w:ascii="Times New Roman" w:hAnsi="Times New Roman" w:cs="Times New Roman"/>
          <w:sz w:val="24"/>
          <w:szCs w:val="24"/>
        </w:rPr>
        <w:t xml:space="preserve"> керамики еще усугубляется</w:t>
      </w:r>
    </w:p>
    <w:p w:rsidR="00FE28C3" w:rsidRPr="00FE28C3" w:rsidRDefault="00FE28C3" w:rsidP="00FE2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8C3">
        <w:rPr>
          <w:rFonts w:ascii="Times New Roman" w:hAnsi="Times New Roman" w:cs="Times New Roman"/>
          <w:sz w:val="24"/>
          <w:szCs w:val="24"/>
        </w:rPr>
        <w:t xml:space="preserve">чрезвычайной тематической изобретательностью ее мастеров. Так, на </w:t>
      </w:r>
      <w:proofErr w:type="spellStart"/>
      <w:r w:rsidRPr="00FE28C3">
        <w:rPr>
          <w:rFonts w:ascii="Times New Roman" w:hAnsi="Times New Roman" w:cs="Times New Roman"/>
          <w:sz w:val="24"/>
          <w:szCs w:val="24"/>
        </w:rPr>
        <w:t>клазоменских</w:t>
      </w:r>
      <w:proofErr w:type="spellEnd"/>
    </w:p>
    <w:p w:rsidR="00FE28C3" w:rsidRPr="00FE28C3" w:rsidRDefault="00FE28C3" w:rsidP="00FE2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E28C3">
        <w:rPr>
          <w:rFonts w:ascii="Times New Roman" w:hAnsi="Times New Roman" w:cs="Times New Roman"/>
          <w:sz w:val="24"/>
          <w:szCs w:val="24"/>
        </w:rPr>
        <w:t>вазах</w:t>
      </w:r>
      <w:proofErr w:type="gramEnd"/>
      <w:r w:rsidRPr="00FE28C3">
        <w:rPr>
          <w:rFonts w:ascii="Times New Roman" w:hAnsi="Times New Roman" w:cs="Times New Roman"/>
          <w:sz w:val="24"/>
          <w:szCs w:val="24"/>
        </w:rPr>
        <w:t xml:space="preserve"> впервые появляется изображение морских ко</w:t>
      </w:r>
      <w:r>
        <w:rPr>
          <w:rFonts w:ascii="Times New Roman" w:hAnsi="Times New Roman" w:cs="Times New Roman"/>
          <w:sz w:val="24"/>
          <w:szCs w:val="24"/>
        </w:rPr>
        <w:t>ней и тритонов, а возможно, что</w:t>
      </w:r>
    </w:p>
    <w:p w:rsidR="00316534" w:rsidRPr="00316534" w:rsidRDefault="00FE28C3" w:rsidP="00FE28C3">
      <w:pPr>
        <w:rPr>
          <w:rFonts w:ascii="Times New Roman" w:hAnsi="Times New Roman" w:cs="Times New Roman"/>
          <w:sz w:val="24"/>
          <w:szCs w:val="24"/>
        </w:rPr>
      </w:pPr>
      <w:r w:rsidRPr="00FE28C3">
        <w:rPr>
          <w:rFonts w:ascii="Times New Roman" w:hAnsi="Times New Roman" w:cs="Times New Roman"/>
          <w:sz w:val="24"/>
          <w:szCs w:val="24"/>
        </w:rPr>
        <w:t xml:space="preserve">и образ сатира впервые зарождается в фантазии </w:t>
      </w:r>
      <w:proofErr w:type="spellStart"/>
      <w:r w:rsidRPr="00FE28C3">
        <w:rPr>
          <w:rFonts w:ascii="Times New Roman" w:hAnsi="Times New Roman" w:cs="Times New Roman"/>
          <w:sz w:val="24"/>
          <w:szCs w:val="24"/>
        </w:rPr>
        <w:t>клазоменских</w:t>
      </w:r>
      <w:proofErr w:type="spellEnd"/>
      <w:r w:rsidRPr="00FE2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8C3">
        <w:rPr>
          <w:rFonts w:ascii="Times New Roman" w:hAnsi="Times New Roman" w:cs="Times New Roman"/>
          <w:sz w:val="24"/>
          <w:szCs w:val="24"/>
        </w:rPr>
        <w:t>керамистов</w:t>
      </w:r>
      <w:proofErr w:type="spellEnd"/>
      <w:r w:rsidRPr="00FE28C3">
        <w:rPr>
          <w:rFonts w:ascii="Times New Roman" w:hAnsi="Times New Roman" w:cs="Times New Roman"/>
          <w:sz w:val="24"/>
          <w:szCs w:val="24"/>
        </w:rPr>
        <w:t>.</w:t>
      </w:r>
    </w:p>
    <w:sectPr w:rsidR="00316534" w:rsidRPr="00316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634"/>
    <w:rsid w:val="00093406"/>
    <w:rsid w:val="00115BD4"/>
    <w:rsid w:val="001E3A8F"/>
    <w:rsid w:val="00201CDD"/>
    <w:rsid w:val="002B285D"/>
    <w:rsid w:val="00316534"/>
    <w:rsid w:val="003F7D3C"/>
    <w:rsid w:val="0058467E"/>
    <w:rsid w:val="008925F4"/>
    <w:rsid w:val="00A97264"/>
    <w:rsid w:val="00DD19E6"/>
    <w:rsid w:val="00E55634"/>
    <w:rsid w:val="00ED275A"/>
    <w:rsid w:val="00F440FF"/>
    <w:rsid w:val="00FE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C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C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2014-06-06T17:59:00Z</dcterms:created>
  <dcterms:modified xsi:type="dcterms:W3CDTF">2014-06-08T23:16:00Z</dcterms:modified>
</cp:coreProperties>
</file>